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DEC15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70379DEA" wp14:editId="20B211D2">
            <wp:simplePos x="0" y="0"/>
            <wp:positionH relativeFrom="margin">
              <wp:align>center</wp:align>
            </wp:positionH>
            <wp:positionV relativeFrom="page">
              <wp:posOffset>198120</wp:posOffset>
            </wp:positionV>
            <wp:extent cx="7231920" cy="2453640"/>
            <wp:effectExtent l="0" t="0" r="0" b="0"/>
            <wp:wrapNone/>
            <wp:docPr id="1209364393" name="image1.png" descr="bd7597d4be7839835acb44167307c8a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d7597d4be7839835acb44167307c8a4.png"/>
                    <pic:cNvPicPr preferRelativeResize="0"/>
                  </pic:nvPicPr>
                  <pic:blipFill>
                    <a:blip r:embed="rId8"/>
                    <a:srcRect b="26797"/>
                    <a:stretch>
                      <a:fillRect/>
                    </a:stretch>
                  </pic:blipFill>
                  <pic:spPr>
                    <a:xfrm>
                      <a:off x="0" y="0"/>
                      <a:ext cx="7231920" cy="245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66C774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FEA793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6F84BF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448521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B412A3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3BD447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4B7232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68D02B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06B999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0AC9FE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F403F1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481940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DB13F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85A79D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7BF0D3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D2B0BC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PROGRAMMA SVOLTO DI </w:t>
      </w:r>
    </w:p>
    <w:p w14:paraId="79D2ED37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ECONOMIA AZIENDALE</w:t>
      </w:r>
    </w:p>
    <w:p w14:paraId="2BE35DC7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Classe II B ITE</w:t>
      </w:r>
    </w:p>
    <w:p w14:paraId="4C916C71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ANNO SCOLASTICO 2024-2025</w:t>
      </w:r>
    </w:p>
    <w:p w14:paraId="01F9FA08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14:paraId="6DF9A340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before="196" w:after="0"/>
        <w:ind w:left="106" w:right="134" w:firstLine="1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CF8BDC0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14:paraId="0D941DBC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14:paraId="06456481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14:paraId="2F2D6CF9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14:paraId="7CBA6A90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 Prof.ssa Simone Vittoria</w:t>
      </w:r>
    </w:p>
    <w:p w14:paraId="16971BEA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14:paraId="3E168E64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9356"/>
        </w:tabs>
        <w:spacing w:after="0" w:line="240" w:lineRule="auto"/>
        <w:ind w:left="1418" w:right="-567"/>
        <w:rPr>
          <w:rFonts w:ascii="Open Sans" w:eastAsia="Open Sans" w:hAnsi="Open Sans" w:cs="Open Sans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>
        <w:rPr>
          <w:rFonts w:ascii="Open Sans" w:eastAsia="Open Sans" w:hAnsi="Open Sans" w:cs="Open Sans"/>
          <w:color w:val="000000"/>
          <w:sz w:val="16"/>
          <w:szCs w:val="16"/>
        </w:rPr>
        <w:t>I.I.S.S. “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>Pietro Sette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” 70029, Santeramo in Colle (BA) - 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 xml:space="preserve">sede </w:t>
      </w:r>
      <w:proofErr w:type="spellStart"/>
      <w:r>
        <w:rPr>
          <w:rFonts w:ascii="Open Sans" w:eastAsia="Open Sans" w:hAnsi="Open Sans" w:cs="Open Sans"/>
          <w:b/>
          <w:color w:val="000000"/>
          <w:sz w:val="16"/>
          <w:szCs w:val="16"/>
        </w:rPr>
        <w:t>Amministrativa_IPSIA</w:t>
      </w:r>
      <w:proofErr w:type="spellEnd"/>
      <w:r>
        <w:rPr>
          <w:rFonts w:ascii="Open Sans" w:eastAsia="Open Sans" w:hAnsi="Open Sans" w:cs="Open Sans"/>
          <w:b/>
          <w:color w:val="000000"/>
          <w:sz w:val="16"/>
          <w:szCs w:val="16"/>
        </w:rPr>
        <w:t>: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 via F.lli Kennedy, 7 - 080.3036201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6A6269D9" wp14:editId="5C838B63">
            <wp:simplePos x="0" y="0"/>
            <wp:positionH relativeFrom="column">
              <wp:posOffset>0</wp:posOffset>
            </wp:positionH>
            <wp:positionV relativeFrom="paragraph">
              <wp:posOffset>-634</wp:posOffset>
            </wp:positionV>
            <wp:extent cx="609600" cy="551180"/>
            <wp:effectExtent l="0" t="0" r="0" b="0"/>
            <wp:wrapNone/>
            <wp:docPr id="1209364394" name="image2.png" descr="Immagine che contiene testo, rosso, logo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rosso, logo, design&#10;&#10;Descrizione generata automaticamente"/>
                    <pic:cNvPicPr preferRelativeResize="0"/>
                  </pic:nvPicPr>
                  <pic:blipFill>
                    <a:blip r:embed="rId9"/>
                    <a:srcRect b="950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15684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8505"/>
          <w:tab w:val="left" w:pos="9356"/>
        </w:tabs>
        <w:spacing w:after="0" w:line="240" w:lineRule="auto"/>
        <w:ind w:left="1418" w:right="-567"/>
        <w:rPr>
          <w:rFonts w:ascii="Open Sans" w:eastAsia="Open Sans" w:hAnsi="Open Sans" w:cs="Open Sans"/>
          <w:color w:val="000000"/>
          <w:sz w:val="16"/>
          <w:szCs w:val="16"/>
        </w:rPr>
      </w:pPr>
      <w:r>
        <w:rPr>
          <w:rFonts w:ascii="Open Sans" w:eastAsia="Open Sans" w:hAnsi="Open Sans" w:cs="Open Sans"/>
          <w:b/>
          <w:color w:val="000000"/>
          <w:sz w:val="16"/>
          <w:szCs w:val="16"/>
        </w:rPr>
        <w:t xml:space="preserve">sede ITE_LS: </w:t>
      </w:r>
      <w:r>
        <w:rPr>
          <w:rFonts w:ascii="Open Sans" w:eastAsia="Open Sans" w:hAnsi="Open Sans" w:cs="Open Sans"/>
          <w:color w:val="000000"/>
          <w:sz w:val="16"/>
          <w:szCs w:val="16"/>
        </w:rPr>
        <w:t>via Pietro Sette - 080.3039751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>Codice Meccanografico: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 BAIS01600D - 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>Cod. fiscale: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 91053080726</w:t>
      </w:r>
    </w:p>
    <w:p w14:paraId="6B40C4AA" w14:textId="77777777" w:rsidR="008A68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8505"/>
          <w:tab w:val="left" w:pos="9356"/>
        </w:tabs>
        <w:spacing w:after="0" w:line="240" w:lineRule="auto"/>
        <w:ind w:left="1418" w:right="-567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b/>
          <w:color w:val="000000"/>
          <w:sz w:val="16"/>
          <w:szCs w:val="16"/>
        </w:rPr>
        <w:t xml:space="preserve">Cod. univoco: 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UFZ88A - 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 xml:space="preserve">PEO: 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bais01600d@istruzione.it - 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>PEC: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 bais01600d@pec.istruzione.it - </w:t>
      </w:r>
      <w:hyperlink r:id="rId10">
        <w:r>
          <w:rPr>
            <w:rFonts w:ascii="Open Sans" w:eastAsia="Open Sans" w:hAnsi="Open Sans" w:cs="Open Sans"/>
            <w:color w:val="000099"/>
            <w:sz w:val="16"/>
            <w:szCs w:val="16"/>
            <w:u w:val="single"/>
          </w:rPr>
          <w:t>www.iisspietrosette.edu.it</w:t>
        </w:r>
      </w:hyperlink>
    </w:p>
    <w:p w14:paraId="2EC5AF3D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8505"/>
          <w:tab w:val="left" w:pos="9356"/>
        </w:tabs>
        <w:spacing w:after="0" w:line="240" w:lineRule="auto"/>
        <w:ind w:left="1418" w:right="-567"/>
        <w:rPr>
          <w:rFonts w:ascii="Open Sans" w:eastAsia="Open Sans" w:hAnsi="Open Sans" w:cs="Open Sans"/>
          <w:sz w:val="16"/>
          <w:szCs w:val="16"/>
        </w:rPr>
      </w:pPr>
    </w:p>
    <w:p w14:paraId="70E07CEA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8505"/>
          <w:tab w:val="left" w:pos="9356"/>
        </w:tabs>
        <w:spacing w:after="0" w:line="240" w:lineRule="auto"/>
        <w:ind w:left="1418" w:right="-567"/>
        <w:rPr>
          <w:rFonts w:ascii="Open Sans" w:eastAsia="Open Sans" w:hAnsi="Open Sans" w:cs="Open Sans"/>
          <w:sz w:val="16"/>
          <w:szCs w:val="16"/>
        </w:rPr>
      </w:pPr>
    </w:p>
    <w:p w14:paraId="6F252154" w14:textId="77777777" w:rsidR="008A68A7" w:rsidRDefault="00000000">
      <w:pPr>
        <w:spacing w:before="196" w:after="0"/>
        <w:ind w:left="106" w:right="134" w:firstLine="11"/>
        <w:jc w:val="both"/>
        <w:rPr>
          <w:rFonts w:ascii="Open Sans" w:eastAsia="Open Sans" w:hAnsi="Open Sans" w:cs="Open Sans"/>
          <w:sz w:val="8"/>
          <w:szCs w:val="8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LIBRO DI TESTO</w:t>
      </w:r>
      <w:r>
        <w:rPr>
          <w:rFonts w:ascii="Arial" w:eastAsia="Arial" w:hAnsi="Arial" w:cs="Arial"/>
          <w:sz w:val="24"/>
          <w:szCs w:val="24"/>
        </w:rPr>
        <w:t xml:space="preserve">: Azienda passo </w:t>
      </w:r>
      <w:proofErr w:type="spellStart"/>
      <w:r>
        <w:rPr>
          <w:rFonts w:ascii="Arial" w:eastAsia="Arial" w:hAnsi="Arial" w:cs="Arial"/>
          <w:sz w:val="24"/>
          <w:szCs w:val="24"/>
        </w:rPr>
        <w:t>passo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– vol.2 - Lidia Sorrentino Casa Ed.  </w:t>
      </w:r>
      <w:proofErr w:type="spellStart"/>
      <w:r>
        <w:rPr>
          <w:rFonts w:ascii="Arial" w:eastAsia="Arial" w:hAnsi="Arial" w:cs="Arial"/>
          <w:sz w:val="24"/>
          <w:szCs w:val="24"/>
        </w:rPr>
        <w:t>Paramond</w:t>
      </w:r>
      <w:proofErr w:type="spellEnd"/>
      <w:r>
        <w:rPr>
          <w:rFonts w:ascii="Arial" w:eastAsia="Arial" w:hAnsi="Arial" w:cs="Arial"/>
          <w:sz w:val="24"/>
          <w:szCs w:val="24"/>
        </w:rPr>
        <w:t> </w:t>
      </w:r>
    </w:p>
    <w:p w14:paraId="7E7C8B53" w14:textId="77777777" w:rsidR="008A68A7" w:rsidRDefault="00000000">
      <w:pPr>
        <w:numPr>
          <w:ilvl w:val="0"/>
          <w:numId w:val="2"/>
        </w:numPr>
        <w:spacing w:before="200" w:after="200" w:line="240" w:lineRule="auto"/>
        <w:ind w:left="142" w:hanging="14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RIPASSO ARGOMENTI SVOLTI NELLA CLASSE I  </w:t>
      </w:r>
    </w:p>
    <w:p w14:paraId="0AF9DA14" w14:textId="77777777" w:rsidR="008A68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highlight w:val="white"/>
        </w:rPr>
        <w:t>Unità di misura e relazioni fra grandezze.</w:t>
      </w:r>
    </w:p>
    <w:p w14:paraId="2E2FEC89" w14:textId="77777777" w:rsidR="008A68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highlight w:val="white"/>
        </w:rPr>
        <w:t>Strumenti matematici: i calcoli percentuali, sopra e sotto cento, i riparti proporzionali.</w:t>
      </w:r>
    </w:p>
    <w:p w14:paraId="7F92113E" w14:textId="77777777" w:rsidR="008A68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highlight w:val="white"/>
        </w:rPr>
        <w:t>La fattura: immediata, differita e DDT.</w:t>
      </w:r>
    </w:p>
    <w:p w14:paraId="21AC70AF" w14:textId="77777777" w:rsidR="008A68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highlight w:val="white"/>
        </w:rPr>
        <w:t>IVA: riepilogo caratteri, operazioni ai fini IVA, base imponibile. Calcolo e scorporo.</w:t>
      </w:r>
    </w:p>
    <w:p w14:paraId="6F6BB879" w14:textId="77777777" w:rsidR="008A68A7" w:rsidRDefault="00000000">
      <w:pPr>
        <w:spacing w:before="200"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●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LA REMUNERAZIONE DEL CREDITO: L’INTERESSE </w:t>
      </w:r>
    </w:p>
    <w:p w14:paraId="1290DE10" w14:textId="77777777" w:rsidR="008A68A7" w:rsidRDefault="00000000">
      <w:pPr>
        <w:numPr>
          <w:ilvl w:val="0"/>
          <w:numId w:val="4"/>
        </w:numPr>
        <w:spacing w:before="200" w:after="0" w:line="240" w:lineRule="auto"/>
        <w:ind w:left="714" w:right="630"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concetto d’interesse.</w:t>
      </w:r>
    </w:p>
    <w:p w14:paraId="5AA3D910" w14:textId="77777777" w:rsidR="008A68A7" w:rsidRDefault="00000000">
      <w:pPr>
        <w:numPr>
          <w:ilvl w:val="0"/>
          <w:numId w:val="4"/>
        </w:numPr>
        <w:spacing w:before="200" w:after="0" w:line="240" w:lineRule="auto"/>
        <w:ind w:left="714" w:right="630"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formule dirette dell’interesse: calcolo </w:t>
      </w:r>
      <w:r>
        <w:rPr>
          <w:rFonts w:ascii="Arial" w:eastAsia="Arial" w:hAnsi="Arial" w:cs="Arial"/>
          <w:color w:val="000000"/>
        </w:rPr>
        <w:t>con tempo espresso in anni, mesi e giorni.  </w:t>
      </w:r>
    </w:p>
    <w:p w14:paraId="5ACB1F11" w14:textId="77777777" w:rsidR="008A68A7" w:rsidRDefault="00000000">
      <w:pPr>
        <w:numPr>
          <w:ilvl w:val="0"/>
          <w:numId w:val="4"/>
        </w:numPr>
        <w:spacing w:before="200" w:after="0" w:line="240" w:lineRule="auto"/>
        <w:ind w:left="714" w:right="629"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 formule inverse dell’interesse</w:t>
      </w:r>
      <w:r>
        <w:rPr>
          <w:rFonts w:ascii="Arial" w:eastAsia="Arial" w:hAnsi="Arial" w:cs="Arial"/>
          <w:color w:val="000000"/>
        </w:rPr>
        <w:t xml:space="preserve">: calcolo del capitale, del tasso e </w:t>
      </w:r>
      <w:proofErr w:type="gramStart"/>
      <w:r>
        <w:rPr>
          <w:rFonts w:ascii="Arial" w:eastAsia="Arial" w:hAnsi="Arial" w:cs="Arial"/>
          <w:color w:val="000000"/>
        </w:rPr>
        <w:t>del  tempo</w:t>
      </w:r>
      <w:proofErr w:type="gramEnd"/>
      <w:r>
        <w:rPr>
          <w:rFonts w:ascii="Arial" w:eastAsia="Arial" w:hAnsi="Arial" w:cs="Arial"/>
          <w:color w:val="000000"/>
        </w:rPr>
        <w:t xml:space="preserve"> con il tempo espresso in anni, mesi e giorni.  </w:t>
      </w:r>
    </w:p>
    <w:p w14:paraId="3D73AA5D" w14:textId="77777777" w:rsidR="008A68A7" w:rsidRDefault="00000000">
      <w:pPr>
        <w:numPr>
          <w:ilvl w:val="0"/>
          <w:numId w:val="4"/>
        </w:numPr>
        <w:spacing w:before="200" w:after="0" w:line="240" w:lineRule="auto"/>
        <w:ind w:left="714" w:right="62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montante: </w:t>
      </w:r>
      <w:r>
        <w:rPr>
          <w:rFonts w:ascii="Arial" w:eastAsia="Arial" w:hAnsi="Arial" w:cs="Arial"/>
          <w:color w:val="000000"/>
        </w:rPr>
        <w:t>definizione e calcolo.</w:t>
      </w:r>
    </w:p>
    <w:p w14:paraId="195B8DCD" w14:textId="77777777" w:rsidR="008A68A7" w:rsidRDefault="00000000">
      <w:pPr>
        <w:numPr>
          <w:ilvl w:val="0"/>
          <w:numId w:val="4"/>
        </w:numPr>
        <w:spacing w:before="200" w:after="0" w:line="240" w:lineRule="auto"/>
        <w:ind w:left="714" w:right="62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Problemi inversi del montante.</w:t>
      </w:r>
    </w:p>
    <w:p w14:paraId="685BA70B" w14:textId="77777777" w:rsidR="008A68A7" w:rsidRDefault="00000000">
      <w:pPr>
        <w:spacing w:before="200"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●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IL PAGAMENTO ANTICIPATO DI UN DEBITO: LO SCONTO</w:t>
      </w:r>
    </w:p>
    <w:p w14:paraId="1F244C55" w14:textId="77777777" w:rsidR="008A68A7" w:rsidRDefault="00000000">
      <w:pPr>
        <w:numPr>
          <w:ilvl w:val="0"/>
          <w:numId w:val="6"/>
        </w:numPr>
        <w:spacing w:before="200" w:after="0" w:line="240" w:lineRule="auto"/>
        <w:ind w:left="714"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concetto di sconto: sconto commerciale e sconto mercantile.</w:t>
      </w:r>
    </w:p>
    <w:p w14:paraId="4E910B9B" w14:textId="77777777" w:rsidR="008A68A7" w:rsidRDefault="00000000">
      <w:pPr>
        <w:numPr>
          <w:ilvl w:val="0"/>
          <w:numId w:val="6"/>
        </w:numPr>
        <w:spacing w:before="200" w:after="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Le formule dirette dello sconto commerciale (</w:t>
      </w:r>
      <w:r>
        <w:rPr>
          <w:rFonts w:ascii="Arial" w:eastAsia="Arial" w:hAnsi="Arial" w:cs="Arial"/>
          <w:color w:val="000000"/>
        </w:rPr>
        <w:t xml:space="preserve">con tempo espresso in anni, mesi </w:t>
      </w:r>
      <w:proofErr w:type="gramStart"/>
      <w:r>
        <w:rPr>
          <w:rFonts w:ascii="Arial" w:eastAsia="Arial" w:hAnsi="Arial" w:cs="Arial"/>
          <w:color w:val="000000"/>
        </w:rPr>
        <w:t>e  giorni</w:t>
      </w:r>
      <w:proofErr w:type="gramEnd"/>
      <w:r>
        <w:rPr>
          <w:rFonts w:ascii="Arial" w:eastAsia="Arial" w:hAnsi="Arial" w:cs="Arial"/>
          <w:color w:val="000000"/>
        </w:rPr>
        <w:t>).</w:t>
      </w:r>
    </w:p>
    <w:p w14:paraId="2D771206" w14:textId="77777777" w:rsidR="008A68A7" w:rsidRDefault="00000000">
      <w:pPr>
        <w:numPr>
          <w:ilvl w:val="0"/>
          <w:numId w:val="6"/>
        </w:numPr>
        <w:spacing w:before="200" w:after="0" w:line="240" w:lineRule="auto"/>
        <w:ind w:left="714"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formule inverse dello sconto commerciale: </w:t>
      </w:r>
      <w:r>
        <w:rPr>
          <w:rFonts w:ascii="Arial" w:eastAsia="Arial" w:hAnsi="Arial" w:cs="Arial"/>
          <w:color w:val="000000"/>
        </w:rPr>
        <w:t xml:space="preserve">calcolo del capitale, del tasso e </w:t>
      </w:r>
      <w:proofErr w:type="gramStart"/>
      <w:r>
        <w:rPr>
          <w:rFonts w:ascii="Arial" w:eastAsia="Arial" w:hAnsi="Arial" w:cs="Arial"/>
          <w:color w:val="000000"/>
        </w:rPr>
        <w:t>del  tempo</w:t>
      </w:r>
      <w:proofErr w:type="gramEnd"/>
      <w:r>
        <w:rPr>
          <w:rFonts w:ascii="Arial" w:eastAsia="Arial" w:hAnsi="Arial" w:cs="Arial"/>
          <w:color w:val="000000"/>
        </w:rPr>
        <w:t xml:space="preserve"> con il tempo espresso in anni, mesi e giorni.  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4BFB4C6A" w14:textId="77777777" w:rsidR="008A68A7" w:rsidRDefault="00000000">
      <w:pPr>
        <w:numPr>
          <w:ilvl w:val="0"/>
          <w:numId w:val="6"/>
        </w:numPr>
        <w:spacing w:before="200" w:after="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Il valore commerciale: definizione e calcolo</w:t>
      </w:r>
      <w:r>
        <w:rPr>
          <w:rFonts w:ascii="Arial" w:eastAsia="Arial" w:hAnsi="Arial" w:cs="Arial"/>
          <w:color w:val="000000"/>
        </w:rPr>
        <w:t xml:space="preserve"> con tempo espresso in anni, mesi </w:t>
      </w:r>
      <w:proofErr w:type="gramStart"/>
      <w:r>
        <w:rPr>
          <w:rFonts w:ascii="Arial" w:eastAsia="Arial" w:hAnsi="Arial" w:cs="Arial"/>
          <w:color w:val="000000"/>
        </w:rPr>
        <w:t>e  giorni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02AF6F5B" w14:textId="77777777" w:rsidR="008A68A7" w:rsidRDefault="00000000">
      <w:pPr>
        <w:numPr>
          <w:ilvl w:val="0"/>
          <w:numId w:val="6"/>
        </w:numPr>
        <w:spacing w:before="200" w:after="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 problemi inversi del valore attuale commerciale: ricerca del tasso, del tempo e del capitale con il tempo espresso in anni, mesi e giorni.</w:t>
      </w:r>
    </w:p>
    <w:p w14:paraId="1F4F984E" w14:textId="77777777" w:rsidR="008A68A7" w:rsidRDefault="00000000">
      <w:pPr>
        <w:numPr>
          <w:ilvl w:val="0"/>
          <w:numId w:val="1"/>
        </w:numPr>
        <w:spacing w:before="200" w:after="0" w:line="240" w:lineRule="auto"/>
        <w:ind w:left="284" w:right="1173" w:hanging="2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UNIFICAZIONE E SUDDIVISIONE DI CAPITALI</w:t>
      </w:r>
    </w:p>
    <w:p w14:paraId="4B929C30" w14:textId="77777777" w:rsidR="008A68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00" w:after="0" w:line="360" w:lineRule="auto"/>
        <w:ind w:left="714" w:right="117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Trasferimento di capitali nel tempo.</w:t>
      </w:r>
    </w:p>
    <w:p w14:paraId="527EC297" w14:textId="77777777" w:rsidR="008A68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La scadenza comune stabilita: anteriore, posteriore ed intermedia.</w:t>
      </w:r>
    </w:p>
    <w:p w14:paraId="63FBFCEF" w14:textId="77777777" w:rsidR="008A68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La scadenza adeguata. </w:t>
      </w:r>
    </w:p>
    <w:p w14:paraId="5523541C" w14:textId="77777777" w:rsidR="008A68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I depositi a risparmio libero: il libretto di risparmio, movimentazione e valute, aspetto </w:t>
      </w:r>
      <w:proofErr w:type="gramStart"/>
      <w:r>
        <w:rPr>
          <w:rFonts w:ascii="Arial" w:eastAsia="Arial" w:hAnsi="Arial" w:cs="Arial"/>
          <w:color w:val="000000"/>
        </w:rPr>
        <w:t>fiscale  e</w:t>
      </w:r>
      <w:proofErr w:type="gramEnd"/>
      <w:r>
        <w:rPr>
          <w:rFonts w:ascii="Arial" w:eastAsia="Arial" w:hAnsi="Arial" w:cs="Arial"/>
          <w:color w:val="000000"/>
        </w:rPr>
        <w:t xml:space="preserve"> computistico. </w:t>
      </w:r>
    </w:p>
    <w:p w14:paraId="475E969B" w14:textId="77777777" w:rsidR="008A68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La vendita rateale. </w:t>
      </w:r>
    </w:p>
    <w:p w14:paraId="12C48962" w14:textId="77777777" w:rsidR="008A68A7" w:rsidRDefault="008A68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/>
        <w:jc w:val="both"/>
        <w:rPr>
          <w:rFonts w:ascii="Arial" w:eastAsia="Arial" w:hAnsi="Arial" w:cs="Arial"/>
          <w:color w:val="000000"/>
        </w:rPr>
      </w:pPr>
    </w:p>
    <w:p w14:paraId="18D73C9C" w14:textId="77777777" w:rsidR="008A68A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GLI STRUMENTI BANCARI DI REGOLAMENTO </w:t>
      </w:r>
    </w:p>
    <w:p w14:paraId="143CF581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1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pagamento del prezzo: tempo di pagamento, strumenti </w:t>
      </w:r>
      <w:proofErr w:type="gramStart"/>
      <w:r>
        <w:rPr>
          <w:rFonts w:ascii="Arial" w:eastAsia="Arial" w:hAnsi="Arial" w:cs="Arial"/>
          <w:color w:val="000000"/>
        </w:rPr>
        <w:t>di  pagamento</w:t>
      </w:r>
      <w:proofErr w:type="gramEnd"/>
      <w:r>
        <w:rPr>
          <w:rFonts w:ascii="Arial" w:eastAsia="Arial" w:hAnsi="Arial" w:cs="Arial"/>
          <w:color w:val="000000"/>
        </w:rPr>
        <w:t>, tracciabilità dei pagamenti.</w:t>
      </w:r>
    </w:p>
    <w:p w14:paraId="01A31E9F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sistema dei pagamenti e il ruolo delle banche: la moneta bancaria.</w:t>
      </w:r>
    </w:p>
    <w:p w14:paraId="69DA7B8C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L’assegno bancario: definizione. contenuto, norme antiriciclaggio.</w:t>
      </w:r>
    </w:p>
    <w:p w14:paraId="7DC29621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Il pagamento dell’assegno bancario e l’assegno scoperto.</w:t>
      </w:r>
    </w:p>
    <w:p w14:paraId="2D06675A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L’assegno circolare: definizione e contenuto.</w:t>
      </w:r>
    </w:p>
    <w:p w14:paraId="69B7A8CE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bonifico SEPA: definizione ed esecuzione.</w:t>
      </w:r>
    </w:p>
    <w:p w14:paraId="45D3E11E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procedura RIBA: la disposizione elettronica d’incasso e le fasi della procedura RIBA.</w:t>
      </w:r>
    </w:p>
    <w:p w14:paraId="6C702685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 carte di pagamento: le carte di debito, le carte di credito, le carte prepagate, le carte contactless. Il contrasto all’evasione fiscale.</w:t>
      </w:r>
    </w:p>
    <w:p w14:paraId="2582A85D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Courier New" w:eastAsia="Courier New" w:hAnsi="Courier New" w:cs="Courier New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cambiali: concetto e funzioni, tipologia di cambiali. </w:t>
      </w:r>
    </w:p>
    <w:p w14:paraId="2081CEEE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pagherò cambiario: i soggetti, il contenuto, </w:t>
      </w:r>
      <w:proofErr w:type="gramStart"/>
      <w:r>
        <w:rPr>
          <w:rFonts w:ascii="Arial" w:eastAsia="Arial" w:hAnsi="Arial" w:cs="Arial"/>
          <w:color w:val="000000"/>
        </w:rPr>
        <w:t>l’ imposta</w:t>
      </w:r>
      <w:proofErr w:type="gramEnd"/>
      <w:r>
        <w:rPr>
          <w:rFonts w:ascii="Arial" w:eastAsia="Arial" w:hAnsi="Arial" w:cs="Arial"/>
          <w:color w:val="000000"/>
        </w:rPr>
        <w:t xml:space="preserve"> di bollo. </w:t>
      </w:r>
    </w:p>
    <w:p w14:paraId="2EEC3D74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cambiale tratta: soggetti contenuto ed accettazione, tratta a due persone.</w:t>
      </w:r>
    </w:p>
    <w:p w14:paraId="37FE5F70" w14:textId="77777777" w:rsidR="008A68A7" w:rsidRDefault="00000000">
      <w:pPr>
        <w:numPr>
          <w:ilvl w:val="0"/>
          <w:numId w:val="8"/>
        </w:numPr>
        <w:spacing w:before="200" w:after="0" w:line="240" w:lineRule="auto"/>
        <w:ind w:right="-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scadenza delle cambiali.</w:t>
      </w:r>
    </w:p>
    <w:p w14:paraId="34A00C6D" w14:textId="77777777" w:rsidR="008A68A7" w:rsidRDefault="00000000">
      <w:pPr>
        <w:numPr>
          <w:ilvl w:val="0"/>
          <w:numId w:val="8"/>
        </w:numPr>
        <w:spacing w:before="200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L’avallo.</w:t>
      </w:r>
    </w:p>
    <w:p w14:paraId="7B098909" w14:textId="77777777" w:rsidR="008A68A7" w:rsidRDefault="00000000">
      <w:pPr>
        <w:numPr>
          <w:ilvl w:val="0"/>
          <w:numId w:val="8"/>
        </w:numPr>
        <w:spacing w:before="200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trasferimento ed il pagamento delle cambiali: girata, pagamento, cambiali insolute azioni cambiarie.</w:t>
      </w:r>
    </w:p>
    <w:p w14:paraId="37DB1D80" w14:textId="77777777" w:rsidR="008A68A7" w:rsidRDefault="00000000">
      <w:pPr>
        <w:numPr>
          <w:ilvl w:val="0"/>
          <w:numId w:val="8"/>
        </w:numPr>
        <w:spacing w:before="200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 sconto cambiario.</w:t>
      </w:r>
    </w:p>
    <w:p w14:paraId="6C077B75" w14:textId="77777777" w:rsidR="008A68A7" w:rsidRDefault="00000000">
      <w:pPr>
        <w:spacing w:before="40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Santeramo in Colle, 7 giugno 2025   </w:t>
      </w:r>
    </w:p>
    <w:p w14:paraId="76182E0A" w14:textId="77777777" w:rsidR="008A68A7" w:rsidRDefault="00000000">
      <w:pPr>
        <w:spacing w:after="0" w:line="240" w:lineRule="auto"/>
        <w:ind w:right="183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Il docente  </w:t>
      </w:r>
    </w:p>
    <w:p w14:paraId="18AB1D43" w14:textId="77777777" w:rsidR="008A68A7" w:rsidRDefault="008A6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8E4EE8" w14:textId="77777777" w:rsidR="008A68A7" w:rsidRDefault="00000000">
      <w:pPr>
        <w:spacing w:after="0" w:line="240" w:lineRule="auto"/>
        <w:ind w:right="137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Vittoria Simone</w:t>
      </w:r>
    </w:p>
    <w:p w14:paraId="297603A2" w14:textId="77777777" w:rsidR="008A68A7" w:rsidRDefault="008A6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762050" w14:textId="77777777" w:rsidR="008A68A7" w:rsidRDefault="00000000">
      <w:pPr>
        <w:spacing w:after="0" w:line="240" w:lineRule="auto"/>
        <w:ind w:right="137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_________________</w:t>
      </w:r>
    </w:p>
    <w:p w14:paraId="61C27B52" w14:textId="77777777" w:rsidR="008A68A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Gli alunni: </w:t>
      </w:r>
    </w:p>
    <w:p w14:paraId="7D01E5F5" w14:textId="77777777" w:rsidR="008A68A7" w:rsidRDefault="008A6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DFDACB" w14:textId="77777777" w:rsidR="008A68A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_____________________________</w:t>
      </w:r>
    </w:p>
    <w:p w14:paraId="42D98213" w14:textId="77777777" w:rsidR="008A68A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_____________________________</w:t>
      </w:r>
    </w:p>
    <w:p w14:paraId="2D5FF50F" w14:textId="77777777" w:rsidR="008A68A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_____________________________</w:t>
      </w:r>
    </w:p>
    <w:p w14:paraId="55491857" w14:textId="77777777" w:rsidR="008A68A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_____________________________</w:t>
      </w:r>
    </w:p>
    <w:sectPr w:rsidR="008A68A7">
      <w:footerReference w:type="default" r:id="rId11"/>
      <w:pgSz w:w="11906" w:h="16838"/>
      <w:pgMar w:top="1417" w:right="707" w:bottom="1134" w:left="709" w:header="3855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05EAD" w14:textId="77777777" w:rsidR="003847F7" w:rsidRDefault="003847F7">
      <w:pPr>
        <w:spacing w:after="0" w:line="240" w:lineRule="auto"/>
      </w:pPr>
      <w:r>
        <w:separator/>
      </w:r>
    </w:p>
  </w:endnote>
  <w:endnote w:type="continuationSeparator" w:id="0">
    <w:p w14:paraId="2B853211" w14:textId="77777777" w:rsidR="003847F7" w:rsidRDefault="0038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ACBA64F-B243-4EBD-9198-032FECC3597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F7E0469-B714-491A-ABEE-94B96F1C5C78}"/>
    <w:embedItalic r:id="rId3" w:fontKey="{011C4EEA-87C0-4185-B9FC-8043561C61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C7C82BC-419A-4A45-86FF-EE7AEEAF86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95F08B4-5BCA-4E13-A9BA-6EBA2A09992C}"/>
    <w:embedBold r:id="rId6" w:fontKey="{A4C4C06A-F1AA-452F-968C-B2496DD920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9D84E18-3694-4CEC-8F0A-42A620191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96018" w14:textId="77777777" w:rsidR="008A6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56"/>
      </w:tabs>
      <w:spacing w:after="0" w:line="240" w:lineRule="auto"/>
      <w:ind w:left="-426"/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9DB552B" wp14:editId="0E5F208D">
              <wp:simplePos x="0" y="0"/>
              <wp:positionH relativeFrom="column">
                <wp:posOffset>-736599</wp:posOffset>
              </wp:positionH>
              <wp:positionV relativeFrom="paragraph">
                <wp:posOffset>177800</wp:posOffset>
              </wp:positionV>
              <wp:extent cx="9525" cy="19050"/>
              <wp:effectExtent l="0" t="0" r="0" b="0"/>
              <wp:wrapNone/>
              <wp:docPr id="1209364392" name="Connettore 2 1209364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76310" y="3775238"/>
                        <a:ext cx="773938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3399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-736599</wp:posOffset>
              </wp:positionH>
              <wp:positionV relativeFrom="paragraph">
                <wp:posOffset>177800</wp:posOffset>
              </wp:positionV>
              <wp:extent cx="9525" cy="19050"/>
              <wp:effectExtent b="0" l="0" r="0" t="0"/>
              <wp:wrapNone/>
              <wp:docPr id="120936439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BC836C2" w14:textId="77777777" w:rsidR="008A68A7" w:rsidRDefault="008A68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56"/>
      </w:tabs>
      <w:spacing w:after="0" w:line="240" w:lineRule="auto"/>
      <w:ind w:left="-1134"/>
      <w:jc w:val="center"/>
      <w:rPr>
        <w:rFonts w:ascii="Open Sans" w:eastAsia="Open Sans" w:hAnsi="Open Sans" w:cs="Open San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4BCF8" w14:textId="77777777" w:rsidR="003847F7" w:rsidRDefault="003847F7">
      <w:pPr>
        <w:spacing w:after="0" w:line="240" w:lineRule="auto"/>
      </w:pPr>
      <w:r>
        <w:separator/>
      </w:r>
    </w:p>
  </w:footnote>
  <w:footnote w:type="continuationSeparator" w:id="0">
    <w:p w14:paraId="5BDC7FDB" w14:textId="77777777" w:rsidR="003847F7" w:rsidRDefault="00384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E2836"/>
    <w:multiLevelType w:val="multilevel"/>
    <w:tmpl w:val="9014F66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32724A"/>
    <w:multiLevelType w:val="multilevel"/>
    <w:tmpl w:val="A606A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0B3FC0"/>
    <w:multiLevelType w:val="multilevel"/>
    <w:tmpl w:val="B79C8C3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FC877C2"/>
    <w:multiLevelType w:val="multilevel"/>
    <w:tmpl w:val="51D250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955E2D"/>
    <w:multiLevelType w:val="multilevel"/>
    <w:tmpl w:val="383A6FC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9925E60"/>
    <w:multiLevelType w:val="multilevel"/>
    <w:tmpl w:val="8A009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16D3FDA"/>
    <w:multiLevelType w:val="multilevel"/>
    <w:tmpl w:val="A9DC120A"/>
    <w:lvl w:ilvl="0">
      <w:start w:val="1"/>
      <w:numFmt w:val="bullet"/>
      <w:lvlText w:val="o"/>
      <w:lvlJc w:val="left"/>
      <w:pPr>
        <w:ind w:left="78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25A7DBC"/>
    <w:multiLevelType w:val="multilevel"/>
    <w:tmpl w:val="B726C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51623071">
    <w:abstractNumId w:val="5"/>
  </w:num>
  <w:num w:numId="2" w16cid:durableId="2039768475">
    <w:abstractNumId w:val="7"/>
  </w:num>
  <w:num w:numId="3" w16cid:durableId="1395860596">
    <w:abstractNumId w:val="6"/>
  </w:num>
  <w:num w:numId="4" w16cid:durableId="1974288321">
    <w:abstractNumId w:val="4"/>
  </w:num>
  <w:num w:numId="5" w16cid:durableId="1610775872">
    <w:abstractNumId w:val="3"/>
  </w:num>
  <w:num w:numId="6" w16cid:durableId="2004580735">
    <w:abstractNumId w:val="0"/>
  </w:num>
  <w:num w:numId="7" w16cid:durableId="381372234">
    <w:abstractNumId w:val="1"/>
  </w:num>
  <w:num w:numId="8" w16cid:durableId="740636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A7"/>
    <w:rsid w:val="002831B4"/>
    <w:rsid w:val="003847F7"/>
    <w:rsid w:val="007D6553"/>
    <w:rsid w:val="008A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FCEE8"/>
  <w15:docId w15:val="{595D5593-7DB2-4E71-B670-7B831BFB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iisspietrosette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sVv7p/cpanv5wzGhRKP9le9bbw==">CgMxLjA4AHIhMUFCXzh0NU02am5GeEZ4dnd4cVpLc1dMX05ydURkRGFL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2881</Characters>
  <Application>Microsoft Office Word</Application>
  <DocSecurity>0</DocSecurity>
  <Lines>24</Lines>
  <Paragraphs>6</Paragraphs>
  <ScaleCrop>false</ScaleCrop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DIFILIPPO</dc:creator>
  <cp:lastModifiedBy>vittoria simone</cp:lastModifiedBy>
  <cp:revision>2</cp:revision>
  <dcterms:created xsi:type="dcterms:W3CDTF">2025-06-07T23:38:00Z</dcterms:created>
  <dcterms:modified xsi:type="dcterms:W3CDTF">2025-06-07T23:38:00Z</dcterms:modified>
</cp:coreProperties>
</file>